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FC7" w:rsidRDefault="00F0783C">
      <w:pPr>
        <w:pStyle w:val="afc"/>
        <w:rPr>
          <w:i/>
        </w:rPr>
      </w:pPr>
      <w:bookmarkStart w:id="0" w:name="_GoBack"/>
      <w:bookmarkEnd w:id="0"/>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w:t>
      </w:r>
      <w:r>
        <w:rPr>
          <w:rFonts w:hint="eastAsia"/>
          <w:i/>
          <w:highlight w:val="yellow"/>
        </w:rPr>
        <w:t xml:space="preserve"> Meta-Analyses,</w:t>
      </w:r>
      <w:r>
        <w:rPr>
          <w:i/>
          <w:highlight w:val="yellow"/>
        </w:rPr>
        <w:t xml:space="preserve"> </w:t>
      </w:r>
      <w:r>
        <w:rPr>
          <w:i/>
        </w:rPr>
        <w:t>etc.)</w:t>
      </w:r>
    </w:p>
    <w:p w:rsidR="00247FC7" w:rsidRDefault="00247FC7">
      <w:pPr>
        <w:pStyle w:val="afc"/>
        <w:rPr>
          <w:i/>
        </w:rPr>
      </w:pPr>
    </w:p>
    <w:p w:rsidR="00247FC7" w:rsidRDefault="00F0783C">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247FC7" w:rsidRDefault="00F0783C">
      <w:pPr>
        <w:pStyle w:val="affb"/>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247FC7" w:rsidRDefault="00F0783C">
      <w:pPr>
        <w:pStyle w:val="afe"/>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247FC7" w:rsidRDefault="00F0783C">
      <w:pPr>
        <w:pStyle w:val="afe"/>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247FC7" w:rsidRDefault="00F0783C">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247FC7" w:rsidRDefault="00F0783C">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247FC7" w:rsidRDefault="00F0783C">
      <w:pPr>
        <w:pStyle w:val="aff1"/>
        <w:spacing w:line="240" w:lineRule="exact"/>
        <w:rPr>
          <w:rStyle w:val="af6"/>
        </w:rPr>
      </w:pPr>
      <w:r>
        <w:rPr>
          <w:rFonts w:eastAsiaTheme="minorEastAsia"/>
        </w:rPr>
        <w:t>Fax (optional): [Full international fax number.]</w:t>
      </w:r>
    </w:p>
    <w:p w:rsidR="00247FC7" w:rsidRDefault="00F0783C">
      <w:pPr>
        <w:pStyle w:val="aff1"/>
        <w:spacing w:line="240" w:lineRule="exact"/>
      </w:pPr>
      <w:r>
        <w:rPr>
          <w:rFonts w:hint="eastAsia"/>
        </w:rPr>
        <w:t xml:space="preserve">Email (mandatory) </w:t>
      </w:r>
    </w:p>
    <w:p w:rsidR="00247FC7" w:rsidRDefault="00247FC7">
      <w:pPr>
        <w:pStyle w:val="aff1"/>
        <w:spacing w:line="240" w:lineRule="exact"/>
        <w:rPr>
          <w:rFonts w:eastAsiaTheme="minorEastAsia"/>
        </w:rPr>
      </w:pPr>
    </w:p>
    <w:p w:rsidR="00247FC7" w:rsidRDefault="00F0783C">
      <w:pPr>
        <w:pStyle w:val="aff1"/>
        <w:spacing w:line="240" w:lineRule="exact"/>
      </w:pPr>
      <w:r>
        <w:rPr>
          <w:vertAlign w:val="superscript"/>
        </w:rPr>
        <w:t>†</w:t>
      </w:r>
      <w:r>
        <w:t>These authors contributed equally.</w:t>
      </w:r>
    </w:p>
    <w:p w:rsidR="00247FC7" w:rsidRDefault="00247FC7">
      <w:pPr>
        <w:pStyle w:val="aff1"/>
        <w:rPr>
          <w:rFonts w:eastAsiaTheme="minorEastAsia"/>
        </w:rPr>
      </w:pPr>
    </w:p>
    <w:p w:rsidR="00247FC7" w:rsidRDefault="00F0783C">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247FC7" w:rsidRDefault="00F0783C">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247FC7" w:rsidRDefault="00F0783C">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247FC7" w:rsidRDefault="00F0783C">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247FC7" w:rsidRDefault="00247FC7">
      <w:pPr>
        <w:pStyle w:val="aff1"/>
        <w:rPr>
          <w:rFonts w:eastAsiaTheme="minorEastAsia"/>
        </w:rPr>
      </w:pPr>
    </w:p>
    <w:p w:rsidR="00247FC7" w:rsidRDefault="00247FC7">
      <w:pPr>
        <w:pStyle w:val="aff1"/>
        <w:rPr>
          <w:rFonts w:eastAsiaTheme="minorEastAsia"/>
        </w:rPr>
      </w:pPr>
    </w:p>
    <w:p w:rsidR="00247FC7" w:rsidRDefault="00F0783C">
      <w:pPr>
        <w:ind w:firstLineChars="0" w:firstLine="0"/>
        <w:sectPr w:rsidR="00247FC7">
          <w:headerReference w:type="default" r:id="rId8"/>
          <w:footerReference w:type="default" r:id="rId9"/>
          <w:headerReference w:type="first" r:id="rId10"/>
          <w:footerReference w:type="first" r:id="rId11"/>
          <w:pgSz w:w="11906" w:h="16838"/>
          <w:pgMar w:top="1440" w:right="1080" w:bottom="1440" w:left="1080" w:header="1134" w:footer="567" w:gutter="0"/>
          <w:cols w:space="425"/>
          <w:titlePg/>
          <w:docGrid w:type="lines" w:linePitch="312"/>
        </w:sectPr>
      </w:pPr>
      <w:r>
        <w:br w:type="page"/>
      </w:r>
    </w:p>
    <w:p w:rsidR="00247FC7" w:rsidRDefault="00F0783C">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247FC7" w:rsidRDefault="00F0783C">
      <w:pPr>
        <w:pStyle w:val="Abstract"/>
      </w:pPr>
      <w:r>
        <w:t>Abstract</w:t>
      </w:r>
    </w:p>
    <w:p w:rsidR="00247FC7" w:rsidRDefault="00F0783C">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xml:space="preserve">: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t>
      </w:r>
      <w:proofErr w:type="gramStart"/>
      <w:r>
        <w:rPr>
          <w:rFonts w:eastAsia="宋体"/>
          <w:color w:val="000000"/>
        </w:rPr>
        <w:t>words)</w:t>
      </w:r>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247FC7" w:rsidRDefault="00F0783C">
      <w:pPr>
        <w:pStyle w:val="Keywords"/>
        <w:spacing w:line="288" w:lineRule="auto"/>
      </w:pPr>
      <w:r>
        <w:t>Keywords</w:t>
      </w:r>
    </w:p>
    <w:p w:rsidR="00247FC7" w:rsidRDefault="00F0783C">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247FC7" w:rsidRDefault="00247FC7">
      <w:pPr>
        <w:pStyle w:val="afd"/>
      </w:pPr>
    </w:p>
    <w:p w:rsidR="00247FC7" w:rsidRDefault="00F0783C">
      <w:pPr>
        <w:pStyle w:val="1"/>
      </w:pPr>
      <w:r>
        <w:t>1. Introduction [</w:t>
      </w:r>
      <w:r>
        <w:rPr>
          <w:color w:val="A6A6A6" w:themeColor="background1" w:themeShade="A6"/>
        </w:rPr>
        <w:t>first level heading</w:t>
      </w:r>
      <w:r>
        <w:t>]</w:t>
      </w:r>
    </w:p>
    <w:p w:rsidR="00247FC7" w:rsidRDefault="00F0783C">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proofErr w:type="gramStart"/>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247FC7" w:rsidRDefault="00F0783C">
      <w:pPr>
        <w:pStyle w:val="1"/>
      </w:pPr>
      <w:r>
        <w:t>2. Materials and Methods</w:t>
      </w:r>
    </w:p>
    <w:p w:rsidR="00247FC7" w:rsidRDefault="00F0783C">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247FC7" w:rsidRDefault="00F0783C">
      <w:pPr>
        <w:pStyle w:val="1"/>
      </w:pPr>
      <w:r>
        <w:rPr>
          <w:rFonts w:hint="eastAsia"/>
        </w:rPr>
        <w:t>3</w:t>
      </w:r>
      <w:r>
        <w:t>. Results</w:t>
      </w:r>
    </w:p>
    <w:p w:rsidR="00247FC7" w:rsidRDefault="00F0783C">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p 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247FC7" w:rsidRDefault="00F0783C">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247FC7" w:rsidRDefault="00F0783C">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247FC7" w:rsidRDefault="00F0783C">
      <w:pPr>
        <w:pStyle w:val="3"/>
      </w:pPr>
      <w:r>
        <w:lastRenderedPageBreak/>
        <w:t>3.1.1 Figures [</w:t>
      </w:r>
      <w:r>
        <w:rPr>
          <w:color w:val="AEAAAA" w:themeColor="background2" w:themeShade="BF"/>
        </w:rPr>
        <w:t>third level heading</w:t>
      </w:r>
      <w:r>
        <w:t>]</w:t>
      </w:r>
    </w:p>
    <w:p w:rsidR="00247FC7" w:rsidRDefault="00F0783C">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247FC7" w:rsidRDefault="00F0783C">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247FC7" w:rsidRDefault="00F0783C">
      <w:pPr>
        <w:pStyle w:val="aff2"/>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rsidR="00247FC7" w:rsidRDefault="00F0783C">
      <w:pPr>
        <w:pStyle w:val="3"/>
      </w:pPr>
      <w:r>
        <w:t>3.1.2 Tables</w:t>
      </w:r>
    </w:p>
    <w:p w:rsidR="00247FC7" w:rsidRDefault="00F0783C">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247FC7" w:rsidRDefault="00F0783C">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247FC7">
        <w:trPr>
          <w:jc w:val="center"/>
        </w:trPr>
        <w:tc>
          <w:tcPr>
            <w:tcW w:w="2643" w:type="dxa"/>
            <w:shd w:val="clear" w:color="auto" w:fill="auto"/>
          </w:tcPr>
          <w:p w:rsidR="00247FC7" w:rsidRDefault="00F0783C">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247FC7" w:rsidRDefault="00F0783C">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247FC7" w:rsidRDefault="00F0783C">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247FC7" w:rsidRDefault="00F0783C">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247FC7">
        <w:trPr>
          <w:jc w:val="center"/>
        </w:trPr>
        <w:tc>
          <w:tcPr>
            <w:tcW w:w="2643" w:type="dxa"/>
            <w:shd w:val="clear" w:color="auto" w:fill="auto"/>
          </w:tcPr>
          <w:p w:rsidR="00247FC7" w:rsidRDefault="00F0783C">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r>
      <w:tr w:rsidR="00247FC7">
        <w:trPr>
          <w:jc w:val="center"/>
        </w:trPr>
        <w:tc>
          <w:tcPr>
            <w:tcW w:w="2643" w:type="dxa"/>
            <w:shd w:val="clear" w:color="auto" w:fill="auto"/>
          </w:tcPr>
          <w:p w:rsidR="00247FC7" w:rsidRDefault="00F0783C">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r>
      <w:tr w:rsidR="00247FC7">
        <w:trPr>
          <w:jc w:val="center"/>
        </w:trPr>
        <w:tc>
          <w:tcPr>
            <w:tcW w:w="2643" w:type="dxa"/>
            <w:shd w:val="clear" w:color="auto" w:fill="auto"/>
          </w:tcPr>
          <w:p w:rsidR="00247FC7" w:rsidRDefault="00F0783C">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r>
      <w:tr w:rsidR="00247FC7">
        <w:trPr>
          <w:jc w:val="center"/>
        </w:trPr>
        <w:tc>
          <w:tcPr>
            <w:tcW w:w="2643" w:type="dxa"/>
            <w:shd w:val="clear" w:color="auto" w:fill="auto"/>
          </w:tcPr>
          <w:p w:rsidR="00247FC7" w:rsidRDefault="00F0783C">
            <w:pPr>
              <w:adjustRightInd w:val="0"/>
              <w:snapToGrid w:val="0"/>
              <w:spacing w:line="288" w:lineRule="auto"/>
              <w:ind w:firstLineChars="0" w:firstLine="0"/>
              <w:rPr>
                <w:sz w:val="18"/>
              </w:rPr>
            </w:pPr>
            <w:r>
              <w:rPr>
                <w:sz w:val="18"/>
              </w:rPr>
              <w:t>Entry 4</w:t>
            </w:r>
          </w:p>
        </w:tc>
        <w:tc>
          <w:tcPr>
            <w:tcW w:w="2536"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247FC7" w:rsidRDefault="00F0783C">
            <w:pPr>
              <w:adjustRightInd w:val="0"/>
              <w:snapToGrid w:val="0"/>
              <w:spacing w:line="288" w:lineRule="auto"/>
              <w:ind w:firstLineChars="0" w:firstLine="0"/>
              <w:jc w:val="center"/>
              <w:rPr>
                <w:rFonts w:eastAsia="宋体"/>
                <w:sz w:val="18"/>
              </w:rPr>
            </w:pPr>
            <w:r>
              <w:rPr>
                <w:rFonts w:eastAsia="宋体"/>
                <w:sz w:val="18"/>
              </w:rPr>
              <w:t>data</w:t>
            </w:r>
          </w:p>
        </w:tc>
      </w:tr>
    </w:tbl>
    <w:p w:rsidR="00247FC7" w:rsidRDefault="00F0783C">
      <w:pPr>
        <w:pStyle w:val="afa"/>
      </w:pPr>
      <w:r>
        <w:t>Table footnotes.</w:t>
      </w:r>
    </w:p>
    <w:p w:rsidR="00247FC7" w:rsidRDefault="00247FC7">
      <w:pPr>
        <w:ind w:firstLineChars="0" w:firstLine="0"/>
        <w:rPr>
          <w:rFonts w:eastAsiaTheme="minorEastAsia"/>
          <w:sz w:val="22"/>
        </w:rPr>
      </w:pPr>
    </w:p>
    <w:p w:rsidR="00247FC7" w:rsidRDefault="00F0783C">
      <w:pPr>
        <w:pStyle w:val="3"/>
      </w:pPr>
      <w:r>
        <w:t>3.1.3 Mathematical Components</w:t>
      </w:r>
    </w:p>
    <w:p w:rsidR="00247FC7" w:rsidRDefault="00F0783C">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247FC7" w:rsidRDefault="00F0783C">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247FC7" w:rsidRDefault="00F0783C">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247FC7" w:rsidRDefault="00F0783C">
      <w:pPr>
        <w:adjustRightInd w:val="0"/>
        <w:snapToGrid w:val="0"/>
        <w:spacing w:line="288" w:lineRule="auto"/>
        <w:ind w:firstLineChars="0" w:firstLine="0"/>
        <w:outlineLvl w:val="3"/>
      </w:pPr>
      <w:r>
        <w:t>This is the example 2 of equation</w:t>
      </w:r>
    </w:p>
    <w:p w:rsidR="00247FC7" w:rsidRDefault="00F0783C">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247FC7" w:rsidRDefault="00F0783C">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247FC7" w:rsidRDefault="00F0783C">
      <w:pPr>
        <w:adjustRightInd w:val="0"/>
        <w:snapToGrid w:val="0"/>
        <w:spacing w:before="240" w:after="240" w:line="288" w:lineRule="auto"/>
        <w:ind w:firstLineChars="0" w:firstLine="0"/>
        <w:outlineLvl w:val="1"/>
        <w:rPr>
          <w:rFonts w:eastAsia="宋体"/>
          <w:i/>
          <w:sz w:val="20"/>
          <w:szCs w:val="20"/>
        </w:rPr>
      </w:pPr>
      <w:r>
        <w:rPr>
          <w:i/>
        </w:rPr>
        <w:t>3.2 Units</w:t>
      </w:r>
    </w:p>
    <w:p w:rsidR="00247FC7" w:rsidRDefault="00F0783C">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inserted before measurement units: 17 mL, 17 </w:t>
      </w:r>
      <w:proofErr w:type="spellStart"/>
      <w:r>
        <w:rPr>
          <w:rFonts w:ascii="Times New Roman" w:eastAsia="宋体" w:hAnsi="Times New Roman" w:cs="Times New Roman"/>
          <w:sz w:val="21"/>
          <w:szCs w:val="20"/>
        </w:rPr>
        <w:t>mol</w:t>
      </w:r>
      <w:proofErr w:type="spellEnd"/>
      <w:r>
        <w:rPr>
          <w:rFonts w:ascii="Times New Roman" w:eastAsia="宋体" w:hAnsi="Times New Roman" w:cs="Times New Roman"/>
          <w:sz w:val="21"/>
          <w:szCs w:val="20"/>
        </w:rPr>
        <w:t>/L, 17 cm.</w:t>
      </w:r>
    </w:p>
    <w:p w:rsidR="00247FC7" w:rsidRDefault="00F0783C">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247FC7" w:rsidRDefault="00F0783C">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247FC7" w:rsidRDefault="00F0783C">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247FC7" w:rsidRDefault="00F0783C">
      <w:pPr>
        <w:pStyle w:val="1"/>
      </w:pPr>
      <w:r>
        <w:t>4. Discussion</w:t>
      </w:r>
    </w:p>
    <w:p w:rsidR="00247FC7" w:rsidRDefault="00F0783C">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247FC7" w:rsidRDefault="00F0783C">
      <w:pPr>
        <w:pStyle w:val="1"/>
      </w:pPr>
      <w:r>
        <w:lastRenderedPageBreak/>
        <w:t>5. Conclusions</w:t>
      </w:r>
    </w:p>
    <w:p w:rsidR="00247FC7" w:rsidRDefault="00F0783C">
      <w:pPr>
        <w:adjustRightInd w:val="0"/>
        <w:snapToGrid w:val="0"/>
        <w:spacing w:line="288" w:lineRule="auto"/>
        <w:ind w:firstLine="420"/>
        <w:rPr>
          <w:rFonts w:eastAsia="宋体"/>
          <w:szCs w:val="20"/>
        </w:rPr>
      </w:pPr>
      <w:bookmarkStart w:id="2" w:name="_Toc41410307"/>
      <w:bookmarkStart w:id="3" w:name="_Toc41410506"/>
      <w:bookmarkStart w:id="4"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247FC7" w:rsidRDefault="00F0783C">
      <w:pPr>
        <w:pStyle w:val="aff9"/>
      </w:pPr>
      <w:r>
        <w:t>Abbreviations</w:t>
      </w:r>
      <w:bookmarkEnd w:id="2"/>
      <w:bookmarkEnd w:id="3"/>
      <w:bookmarkEnd w:id="4"/>
      <w:r>
        <w:t xml:space="preserve"> [</w:t>
      </w:r>
      <w:r>
        <w:rPr>
          <w:color w:val="A6A6A6" w:themeColor="background1" w:themeShade="A6"/>
        </w:rPr>
        <w:t>optional section</w:t>
      </w:r>
      <w:r>
        <w:t>]</w:t>
      </w:r>
    </w:p>
    <w:p w:rsidR="00247FC7" w:rsidRDefault="00F0783C">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247FC7" w:rsidRDefault="00F0783C">
      <w:pPr>
        <w:pStyle w:val="aff9"/>
      </w:pPr>
      <w:r>
        <w:t>Supplementary Material [</w:t>
      </w:r>
      <w:r>
        <w:rPr>
          <w:color w:val="A6A6A6" w:themeColor="background1" w:themeShade="A6"/>
        </w:rPr>
        <w:t>optional section</w:t>
      </w:r>
      <w:r>
        <w:t>]</w:t>
      </w:r>
    </w:p>
    <w:p w:rsidR="00247FC7" w:rsidRDefault="00F0783C">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247FC7" w:rsidRDefault="00F0783C">
      <w:pPr>
        <w:pStyle w:val="aff9"/>
        <w:rPr>
          <w:rFonts w:eastAsiaTheme="minorEastAsia"/>
        </w:rPr>
      </w:pPr>
      <w:r>
        <w:t>Appendix [</w:t>
      </w:r>
      <w:r>
        <w:rPr>
          <w:color w:val="AEAAAA" w:themeColor="background2" w:themeShade="BF"/>
        </w:rPr>
        <w:t>optional section</w:t>
      </w:r>
      <w:r>
        <w:t>]</w:t>
      </w:r>
    </w:p>
    <w:p w:rsidR="00247FC7" w:rsidRDefault="00F0783C">
      <w:pPr>
        <w:adjustRightInd w:val="0"/>
        <w:snapToGrid w:val="0"/>
        <w:spacing w:line="288" w:lineRule="auto"/>
        <w:ind w:firstLine="420"/>
        <w:rPr>
          <w:rFonts w:eastAsia="宋体"/>
          <w:szCs w:val="20"/>
        </w:rPr>
      </w:pPr>
      <w:r>
        <w:rPr>
          <w:rFonts w:eastAsia="宋体"/>
          <w:szCs w:val="20"/>
        </w:rPr>
        <w:t>All appendix materials must be cited in the main text.</w:t>
      </w:r>
    </w:p>
    <w:p w:rsidR="00247FC7" w:rsidRDefault="00F0783C">
      <w:pPr>
        <w:pStyle w:val="aff9"/>
      </w:pPr>
      <w:r>
        <w:t>Availability of Data and Materials</w:t>
      </w:r>
    </w:p>
    <w:p w:rsidR="00247FC7" w:rsidRDefault="00F0783C">
      <w:pPr>
        <w:pStyle w:val="aff9"/>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3" w:anchor="3._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247FC7" w:rsidRDefault="00F0783C">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247FC7" w:rsidRDefault="00F0783C">
      <w:pPr>
        <w:pStyle w:val="aff9"/>
      </w:pPr>
      <w:r>
        <w:t>Author Contributions</w:t>
      </w:r>
    </w:p>
    <w:p w:rsidR="00247FC7" w:rsidRDefault="00F0783C">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4"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247FC7" w:rsidRDefault="00F0783C">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247FC7" w:rsidRDefault="00F0783C">
      <w:pPr>
        <w:pStyle w:val="aff9"/>
      </w:pPr>
      <w:r>
        <w:t>Ethics Approval and Consent to Participate</w:t>
      </w:r>
    </w:p>
    <w:p w:rsidR="00247FC7" w:rsidRDefault="00F0783C">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5"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247FC7" w:rsidRDefault="00F0783C">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sidR="00B94396" w:rsidRPr="005D080F">
        <w:rPr>
          <w:rFonts w:eastAsia="宋体"/>
          <w:b w:val="0"/>
          <w:sz w:val="21"/>
          <w:szCs w:val="20"/>
        </w:rPr>
        <w:t>The study was conducted in accordance with the Declaration of Helsinki.</w:t>
      </w:r>
      <w:r w:rsidR="00B94396">
        <w:rPr>
          <w:rFonts w:eastAsia="宋体"/>
          <w:b w:val="0"/>
          <w:sz w:val="21"/>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247FC7" w:rsidRDefault="00F0783C">
      <w:pPr>
        <w:pStyle w:val="aff9"/>
      </w:pPr>
      <w:r>
        <w:t>Acknowledgment</w:t>
      </w:r>
    </w:p>
    <w:p w:rsidR="00247FC7" w:rsidRDefault="00F0783C">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6" w:anchor="5._authorship" w:history="1">
        <w:r>
          <w:rPr>
            <w:rStyle w:val="af5"/>
            <w:rFonts w:eastAsia="宋体"/>
            <w:szCs w:val="20"/>
          </w:rPr>
          <w:t>Acknowledgment Policy</w:t>
        </w:r>
      </w:hyperlink>
      <w:r>
        <w:rPr>
          <w:rFonts w:eastAsia="宋体" w:hint="eastAsia"/>
          <w:szCs w:val="20"/>
        </w:rPr>
        <w:t>.</w:t>
      </w:r>
    </w:p>
    <w:p w:rsidR="00247FC7" w:rsidRDefault="00F0783C">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B4698E" w:rsidRDefault="00B4698E" w:rsidP="00B4698E">
      <w:pPr>
        <w:pStyle w:val="aff9"/>
      </w:pPr>
      <w:r>
        <w:t>Funding</w:t>
      </w:r>
    </w:p>
    <w:p w:rsidR="00B4698E" w:rsidRDefault="00B4698E" w:rsidP="00B4698E">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B4698E" w:rsidRDefault="00B4698E" w:rsidP="00B4698E">
      <w:pPr>
        <w:pStyle w:val="aff9"/>
      </w:pPr>
      <w:r>
        <w:t>Conflict of Interest</w:t>
      </w:r>
    </w:p>
    <w:p w:rsidR="00B4698E" w:rsidRDefault="00B4698E" w:rsidP="00B4698E">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7" w:anchor="conflict_of_interests" w:history="1">
        <w:r>
          <w:rPr>
            <w:rStyle w:val="af5"/>
            <w:rFonts w:eastAsia="宋体" w:hint="eastAsia"/>
            <w:szCs w:val="20"/>
          </w:rPr>
          <w:t>Conflict of Interest</w:t>
        </w:r>
        <w:r>
          <w:rPr>
            <w:rStyle w:val="af5"/>
            <w:rFonts w:eastAsia="宋体"/>
            <w:szCs w:val="20"/>
          </w:rPr>
          <w:t xml:space="preserve"> Policy</w:t>
        </w:r>
      </w:hyperlink>
      <w:r w:rsidR="002C4FBD">
        <w:rPr>
          <w:rFonts w:eastAsia="宋体"/>
          <w:szCs w:val="20"/>
        </w:rPr>
        <w:t>.</w:t>
      </w:r>
    </w:p>
    <w:p w:rsidR="00B4698E" w:rsidRPr="00150284" w:rsidRDefault="00B4698E" w:rsidP="00B4698E">
      <w:pPr>
        <w:pStyle w:val="aff9"/>
      </w:pPr>
      <w:r w:rsidRPr="00150284">
        <w:rPr>
          <w:rFonts w:hint="eastAsia"/>
        </w:rPr>
        <w:t>Declaration of AI and AI-assisted Technologies in the Writing Process</w:t>
      </w:r>
    </w:p>
    <w:p w:rsidR="00B4698E" w:rsidRPr="00150284" w:rsidRDefault="00B4698E" w:rsidP="00B4698E">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18" w:history="1">
        <w:r w:rsidRPr="004C2375">
          <w:rPr>
            <w:rStyle w:val="af5"/>
            <w:rFonts w:eastAsia="宋体"/>
            <w:szCs w:val="20"/>
          </w:rPr>
          <w:t>COPE’s stated position</w:t>
        </w:r>
      </w:hyperlink>
      <w:r w:rsidRPr="004C2375">
        <w:rPr>
          <w:rFonts w:eastAsia="宋体"/>
          <w:szCs w:val="20"/>
        </w:rPr>
        <w:t xml:space="preserve"> on AI tools and </w:t>
      </w:r>
      <w:hyperlink r:id="rId19" w:history="1">
        <w:r w:rsidRPr="004C2375">
          <w:rPr>
            <w:rStyle w:val="af5"/>
            <w:rFonts w:eastAsia="宋体"/>
            <w:szCs w:val="20"/>
          </w:rPr>
          <w:t>ICMJE’s authorship criteria</w:t>
        </w:r>
      </w:hyperlink>
      <w:r w:rsidRPr="004C2375">
        <w:rPr>
          <w:rFonts w:eastAsia="宋体"/>
          <w:szCs w:val="20"/>
        </w:rPr>
        <w:t xml:space="preserve">, artificial intelligence </w:t>
      </w:r>
      <w:proofErr w:type="spellStart"/>
      <w:r w:rsidRPr="004C2375">
        <w:rPr>
          <w:rFonts w:eastAsia="宋体"/>
          <w:szCs w:val="20"/>
        </w:rPr>
        <w:t>chatbots</w:t>
      </w:r>
      <w:proofErr w:type="spellEnd"/>
      <w:r w:rsidRPr="004C2375">
        <w:rPr>
          <w:rFonts w:eastAsia="宋体"/>
          <w:szCs w:val="20"/>
        </w:rPr>
        <w:t xml:space="preserve">, such as </w:t>
      </w:r>
      <w:hyperlink r:id="rId20" w:history="1">
        <w:proofErr w:type="spellStart"/>
        <w:r w:rsidRPr="004C2375">
          <w:rPr>
            <w:rStyle w:val="af5"/>
            <w:rFonts w:eastAsia="宋体"/>
            <w:szCs w:val="20"/>
          </w:rPr>
          <w:t>ChatGPT</w:t>
        </w:r>
        <w:proofErr w:type="spellEnd"/>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rsidR="00B4698E" w:rsidRPr="00150284" w:rsidRDefault="00B4698E" w:rsidP="00B4698E">
      <w:pPr>
        <w:adjustRightInd w:val="0"/>
        <w:snapToGrid w:val="0"/>
        <w:spacing w:line="288" w:lineRule="auto"/>
        <w:ind w:firstLineChars="0" w:firstLine="0"/>
        <w:rPr>
          <w:rFonts w:eastAsia="宋体"/>
          <w:szCs w:val="20"/>
        </w:rPr>
      </w:pPr>
    </w:p>
    <w:p w:rsidR="00B4698E" w:rsidRPr="00150284" w:rsidRDefault="00B4698E" w:rsidP="00B4698E">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247FC7" w:rsidRDefault="00247FC7">
      <w:pPr>
        <w:adjustRightInd w:val="0"/>
        <w:snapToGrid w:val="0"/>
        <w:spacing w:line="288" w:lineRule="auto"/>
        <w:ind w:firstLineChars="0" w:firstLine="0"/>
        <w:rPr>
          <w:rFonts w:eastAsia="宋体"/>
          <w:b/>
          <w:szCs w:val="20"/>
          <w:highlight w:val="yellow"/>
        </w:rPr>
      </w:pPr>
    </w:p>
    <w:p w:rsidR="00247FC7" w:rsidRDefault="00247FC7">
      <w:pPr>
        <w:adjustRightInd w:val="0"/>
        <w:snapToGrid w:val="0"/>
        <w:spacing w:line="288" w:lineRule="auto"/>
        <w:ind w:firstLineChars="0" w:firstLine="0"/>
        <w:rPr>
          <w:rFonts w:eastAsia="宋体"/>
          <w:szCs w:val="20"/>
        </w:rPr>
      </w:pPr>
    </w:p>
    <w:p w:rsidR="00247FC7" w:rsidRDefault="00F0783C">
      <w:pPr>
        <w:pStyle w:val="aff9"/>
      </w:pPr>
      <w:r>
        <w:t>References and Notes</w:t>
      </w:r>
    </w:p>
    <w:p w:rsidR="00247FC7" w:rsidRDefault="00F0783C">
      <w:pPr>
        <w:pStyle w:val="aff9"/>
        <w:rPr>
          <w:rStyle w:val="af6"/>
          <w:b w:val="0"/>
        </w:rPr>
      </w:pPr>
      <w:r>
        <w:rPr>
          <w:rStyle w:val="af6"/>
          <w:rFonts w:hint="eastAsia"/>
          <w:b w:val="0"/>
        </w:rPr>
        <w:lastRenderedPageBreak/>
        <w:t>Please</w:t>
      </w:r>
      <w:r>
        <w:rPr>
          <w:rStyle w:val="af6"/>
          <w:rFonts w:hint="eastAsia"/>
          <w:bCs/>
        </w:rPr>
        <w:t xml:space="preserve"> note that</w:t>
      </w:r>
      <w:r>
        <w:rPr>
          <w:rStyle w:val="af6"/>
          <w:rFonts w:hint="eastAsia"/>
          <w:b w:val="0"/>
        </w:rPr>
        <w:t xml:space="preserve"> authors are responsible for the accuracy and completeness of their </w:t>
      </w:r>
      <w:hyperlink r:id="rId21" w:anchor="6._citations" w:history="1">
        <w:r>
          <w:rPr>
            <w:rStyle w:val="af5"/>
            <w:rFonts w:hint="eastAsia"/>
            <w:b w:val="0"/>
            <w:sz w:val="21"/>
            <w:szCs w:val="21"/>
          </w:rPr>
          <w:t>references</w:t>
        </w:r>
      </w:hyperlink>
      <w:r>
        <w:rPr>
          <w:rStyle w:val="af6"/>
          <w:rFonts w:hint="eastAsia"/>
          <w:b w:val="0"/>
        </w:rPr>
        <w:t xml:space="preserve">.  </w:t>
      </w:r>
    </w:p>
    <w:p w:rsidR="00247FC7" w:rsidRDefault="00F0783C">
      <w:pPr>
        <w:adjustRightInd w:val="0"/>
        <w:snapToGrid w:val="0"/>
        <w:spacing w:line="288" w:lineRule="auto"/>
        <w:ind w:firstLineChars="0" w:firstLine="0"/>
        <w:rPr>
          <w:rFonts w:eastAsia="宋体"/>
          <w:szCs w:val="20"/>
        </w:rPr>
      </w:pPr>
      <w:r>
        <w:rPr>
          <w:rFonts w:eastAsia="宋体"/>
          <w:szCs w:val="20"/>
        </w:rPr>
        <w:t>Sample reference citation (</w:t>
      </w:r>
      <w:hyperlink r:id="rId22" w:history="1">
        <w:r>
          <w:rPr>
            <w:rStyle w:val="af5"/>
            <w:rFonts w:eastAsia="宋体"/>
            <w:szCs w:val="20"/>
          </w:rPr>
          <w:t>Download EndNote style</w:t>
        </w:r>
      </w:hyperlink>
      <w:r>
        <w:rPr>
          <w:rFonts w:eastAsia="宋体"/>
          <w:szCs w:val="20"/>
        </w:rPr>
        <w:t>).</w:t>
      </w:r>
    </w:p>
    <w:p w:rsidR="00247FC7" w:rsidRDefault="00247FC7">
      <w:pPr>
        <w:adjustRightInd w:val="0"/>
        <w:snapToGrid w:val="0"/>
        <w:spacing w:line="288" w:lineRule="auto"/>
        <w:ind w:firstLineChars="0" w:firstLine="0"/>
        <w:rPr>
          <w:rFonts w:eastAsia="宋体"/>
          <w:szCs w:val="20"/>
        </w:rPr>
      </w:pPr>
    </w:p>
    <w:p w:rsidR="00247FC7" w:rsidRDefault="00F0783C">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247FC7" w:rsidRDefault="00F0783C">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247FC7" w:rsidRDefault="00F0783C">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247FC7" w:rsidRDefault="00F0783C">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w:t>
      </w:r>
      <w:proofErr w:type="spellStart"/>
      <w:r>
        <w:rPr>
          <w:sz w:val="21"/>
        </w:rPr>
        <w:t>ed</w:t>
      </w:r>
      <w:proofErr w:type="spellEnd"/>
      <w:r>
        <w:rPr>
          <w:sz w:val="21"/>
        </w:rPr>
        <w:t>(s).) Book title Page. Edition. Publisher: City, Country. Year. https://doi.org/...</w:t>
      </w:r>
    </w:p>
    <w:p w:rsidR="00247FC7" w:rsidRDefault="00F0783C">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247FC7" w:rsidRDefault="00F0783C">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247FC7" w:rsidRDefault="00F0783C">
      <w:pPr>
        <w:pStyle w:val="afb"/>
        <w:ind w:left="420" w:hanging="420"/>
      </w:pPr>
      <w:r>
        <w:rPr>
          <w:sz w:val="21"/>
        </w:rPr>
        <w:t>[7] The advantage of endnotes, is that they are all arranged sequentially in one place, regardless of the length of individual notes.</w:t>
      </w:r>
    </w:p>
    <w:p w:rsidR="00247FC7" w:rsidRDefault="00247FC7">
      <w:pPr>
        <w:pStyle w:val="afb"/>
        <w:ind w:left="360" w:hanging="360"/>
      </w:pPr>
    </w:p>
    <w:sectPr w:rsidR="00247FC7">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95C" w:rsidRDefault="00C7095C">
      <w:pPr>
        <w:ind w:firstLine="420"/>
      </w:pPr>
      <w:r>
        <w:separator/>
      </w:r>
    </w:p>
  </w:endnote>
  <w:endnote w:type="continuationSeparator" w:id="0">
    <w:p w:rsidR="00C7095C" w:rsidRDefault="00C7095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FC7" w:rsidRDefault="00247FC7">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FC7" w:rsidRDefault="00F0783C">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95C" w:rsidRDefault="00C7095C">
      <w:pPr>
        <w:ind w:firstLine="420"/>
      </w:pPr>
      <w:r>
        <w:separator/>
      </w:r>
    </w:p>
  </w:footnote>
  <w:footnote w:type="continuationSeparator" w:id="0">
    <w:p w:rsidR="00C7095C" w:rsidRDefault="00C7095C">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FC7" w:rsidRDefault="00247FC7">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FC7" w:rsidRDefault="00F0783C">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1122045" cy="403225"/>
          <wp:effectExtent l="0" t="0" r="1905"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2045"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47FC7"/>
    <w:rsid w:val="00252EA2"/>
    <w:rsid w:val="002639E1"/>
    <w:rsid w:val="00266B3B"/>
    <w:rsid w:val="00290CA6"/>
    <w:rsid w:val="00293710"/>
    <w:rsid w:val="00297DC6"/>
    <w:rsid w:val="002B339E"/>
    <w:rsid w:val="002B37AC"/>
    <w:rsid w:val="002C202A"/>
    <w:rsid w:val="002C4FBD"/>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A6765"/>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4D4"/>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1FB"/>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102F1"/>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30C4"/>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49F"/>
    <w:rsid w:val="00B03754"/>
    <w:rsid w:val="00B04778"/>
    <w:rsid w:val="00B11DD4"/>
    <w:rsid w:val="00B27ED4"/>
    <w:rsid w:val="00B32F0C"/>
    <w:rsid w:val="00B330E1"/>
    <w:rsid w:val="00B343D1"/>
    <w:rsid w:val="00B4698E"/>
    <w:rsid w:val="00B53367"/>
    <w:rsid w:val="00B5516A"/>
    <w:rsid w:val="00B569EB"/>
    <w:rsid w:val="00B67664"/>
    <w:rsid w:val="00B676F9"/>
    <w:rsid w:val="00B94396"/>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40F87"/>
    <w:rsid w:val="00C52332"/>
    <w:rsid w:val="00C52B7D"/>
    <w:rsid w:val="00C55B10"/>
    <w:rsid w:val="00C63B84"/>
    <w:rsid w:val="00C63ED4"/>
    <w:rsid w:val="00C6776D"/>
    <w:rsid w:val="00C7095C"/>
    <w:rsid w:val="00C70E67"/>
    <w:rsid w:val="00C76CBF"/>
    <w:rsid w:val="00C80439"/>
    <w:rsid w:val="00C82418"/>
    <w:rsid w:val="00C82550"/>
    <w:rsid w:val="00C8531D"/>
    <w:rsid w:val="00C86D61"/>
    <w:rsid w:val="00C94B05"/>
    <w:rsid w:val="00C95FB6"/>
    <w:rsid w:val="00C96B09"/>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15E6"/>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0783C"/>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2EFF"/>
    <w:rsid w:val="00FD46E9"/>
    <w:rsid w:val="00FE046D"/>
    <w:rsid w:val="00FF0135"/>
    <w:rsid w:val="00FF1392"/>
    <w:rsid w:val="00FF2CA7"/>
    <w:rsid w:val="00FF5195"/>
    <w:rsid w:val="01655E65"/>
    <w:rsid w:val="05EE6238"/>
    <w:rsid w:val="07E2711D"/>
    <w:rsid w:val="0CA5554C"/>
    <w:rsid w:val="0DF540CC"/>
    <w:rsid w:val="1131366D"/>
    <w:rsid w:val="16DF5419"/>
    <w:rsid w:val="17E92EF4"/>
    <w:rsid w:val="1A267DF0"/>
    <w:rsid w:val="1E302101"/>
    <w:rsid w:val="20DA5ACF"/>
    <w:rsid w:val="21BE795F"/>
    <w:rsid w:val="25F34DFB"/>
    <w:rsid w:val="27B626C7"/>
    <w:rsid w:val="28E8565E"/>
    <w:rsid w:val="29F62D17"/>
    <w:rsid w:val="2B404388"/>
    <w:rsid w:val="2E2C723F"/>
    <w:rsid w:val="30550CCF"/>
    <w:rsid w:val="31D56941"/>
    <w:rsid w:val="374E3ECF"/>
    <w:rsid w:val="3B181276"/>
    <w:rsid w:val="3B702E61"/>
    <w:rsid w:val="3C9C35B9"/>
    <w:rsid w:val="3D0575D8"/>
    <w:rsid w:val="3DE9514C"/>
    <w:rsid w:val="3E530817"/>
    <w:rsid w:val="3EBB705C"/>
    <w:rsid w:val="41AF15C1"/>
    <w:rsid w:val="43030A5E"/>
    <w:rsid w:val="46B5206F"/>
    <w:rsid w:val="489108BA"/>
    <w:rsid w:val="49A40179"/>
    <w:rsid w:val="49D83A04"/>
    <w:rsid w:val="4B306168"/>
    <w:rsid w:val="4B7A6B4C"/>
    <w:rsid w:val="4C5509A6"/>
    <w:rsid w:val="4D043409"/>
    <w:rsid w:val="4D095A12"/>
    <w:rsid w:val="4D1753CC"/>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875956-C44A-41D2-B4FE-9D8408C4C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resources/editorial_policies" TargetMode="External"/><Relationship Id="rId18" Type="http://schemas.openxmlformats.org/officeDocument/2006/relationships/hyperlink" Target="https://publicationethics.org/cope-position-statements/ai-author" TargetMode="External"/><Relationship Id="rId3" Type="http://schemas.openxmlformats.org/officeDocument/2006/relationships/styles" Target="styles.xml"/><Relationship Id="rId21" Type="http://schemas.openxmlformats.org/officeDocument/2006/relationships/hyperlink" Target="https://www.imrpress.com/resources/editorial_policie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www.imrpress.com/resources/editorial_policies" TargetMode="External"/><Relationship Id="rId2" Type="http://schemas.openxmlformats.org/officeDocument/2006/relationships/numbering" Target="numbering.xml"/><Relationship Id="rId16" Type="http://schemas.openxmlformats.org/officeDocument/2006/relationships/hyperlink" Target="https://www.imrpress.com/resources/editorial_policies" TargetMode="External"/><Relationship Id="rId20" Type="http://schemas.openxmlformats.org/officeDocument/2006/relationships/hyperlink" Target="https://openai.com/index/chatg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icmje.org/recommendations/browse/roles-and-responsibilities/defining-the-role-of-authors-and-contributor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journal/RCM/instructions" TargetMode="External"/><Relationship Id="rId22" Type="http://schemas.openxmlformats.org/officeDocument/2006/relationships/hyperlink" Target="https://article.imrpress.com/file/endnote/EndNote%20style.en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737F7-CD2E-4D11-8A03-E672AA587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2098</Words>
  <Characters>11960</Characters>
  <Application>Microsoft Office Word</Application>
  <DocSecurity>0</DocSecurity>
  <Lines>99</Lines>
  <Paragraphs>28</Paragraphs>
  <ScaleCrop>false</ScaleCrop>
  <Company>Microsoft</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5</cp:revision>
  <cp:lastPrinted>2020-10-13T08:10:00Z</cp:lastPrinted>
  <dcterms:created xsi:type="dcterms:W3CDTF">2025-02-21T08:55:00Z</dcterms:created>
  <dcterms:modified xsi:type="dcterms:W3CDTF">2025-03-26T02:28:00Z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